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5928" w14:textId="77777777" w:rsidR="00E37823" w:rsidRDefault="00E37823" w:rsidP="00E37823">
      <w:r>
        <w:rPr>
          <w:noProof/>
        </w:rPr>
        <w:drawing>
          <wp:anchor distT="0" distB="0" distL="114300" distR="114300" simplePos="0" relativeHeight="251661312" behindDoc="1" locked="0" layoutInCell="1" allowOverlap="1" wp14:anchorId="2EDD44EB" wp14:editId="79A9A6A3">
            <wp:simplePos x="0" y="0"/>
            <wp:positionH relativeFrom="page">
              <wp:posOffset>2858135</wp:posOffset>
            </wp:positionH>
            <wp:positionV relativeFrom="page">
              <wp:posOffset>716915</wp:posOffset>
            </wp:positionV>
            <wp:extent cx="1695450" cy="79057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5450" cy="790575"/>
                    </a:xfrm>
                    <a:prstGeom prst="rect">
                      <a:avLst/>
                    </a:prstGeom>
                    <a:noFill/>
                  </pic:spPr>
                </pic:pic>
              </a:graphicData>
            </a:graphic>
            <wp14:sizeRelH relativeFrom="page">
              <wp14:pctWidth>0</wp14:pctWidth>
            </wp14:sizeRelH>
            <wp14:sizeRelV relativeFrom="page">
              <wp14:pctHeight>0</wp14:pctHeight>
            </wp14:sizeRelV>
          </wp:anchor>
        </w:drawing>
      </w:r>
    </w:p>
    <w:p w14:paraId="60250A3A" w14:textId="77777777" w:rsidR="00E37823" w:rsidRDefault="00E37823" w:rsidP="00E37823">
      <w:r>
        <w:tab/>
      </w:r>
      <w:r>
        <w:tab/>
      </w:r>
    </w:p>
    <w:p w14:paraId="080643D7" w14:textId="77777777" w:rsidR="00E37823" w:rsidRDefault="00E37823" w:rsidP="00E37823">
      <w:pPr>
        <w:spacing w:line="0" w:lineRule="atLeast"/>
        <w:ind w:right="20"/>
        <w:jc w:val="center"/>
      </w:pPr>
    </w:p>
    <w:p w14:paraId="736550BD" w14:textId="77777777" w:rsidR="00E37823" w:rsidRDefault="00E37823" w:rsidP="00E37823">
      <w:pPr>
        <w:spacing w:line="0" w:lineRule="atLeast"/>
        <w:ind w:right="20"/>
        <w:jc w:val="center"/>
      </w:pPr>
    </w:p>
    <w:p w14:paraId="10D7675D" w14:textId="77777777" w:rsidR="00E37823" w:rsidRDefault="00E37823" w:rsidP="00E37823">
      <w:pPr>
        <w:spacing w:line="0" w:lineRule="atLeast"/>
        <w:ind w:right="20"/>
        <w:jc w:val="center"/>
      </w:pPr>
      <w:r>
        <w:t>Załącznik numer 2 do regulaminu dla właścicieli „Zakres pakietu”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57"/>
        <w:gridCol w:w="1577"/>
        <w:gridCol w:w="1505"/>
      </w:tblGrid>
      <w:tr w:rsidR="00E37823" w14:paraId="7F5506B3" w14:textId="77777777" w:rsidTr="003C542E">
        <w:tc>
          <w:tcPr>
            <w:tcW w:w="9030" w:type="dxa"/>
            <w:gridSpan w:val="4"/>
            <w:tcBorders>
              <w:top w:val="single" w:sz="4" w:space="0" w:color="auto"/>
              <w:left w:val="single" w:sz="4" w:space="0" w:color="auto"/>
              <w:bottom w:val="single" w:sz="4" w:space="0" w:color="auto"/>
              <w:right w:val="single" w:sz="4" w:space="0" w:color="auto"/>
            </w:tcBorders>
            <w:hideMark/>
          </w:tcPr>
          <w:p w14:paraId="32A50246" w14:textId="77777777" w:rsidR="00E37823" w:rsidRDefault="00E37823" w:rsidP="003C542E">
            <w:pPr>
              <w:spacing w:line="0" w:lineRule="atLeast"/>
              <w:ind w:right="20"/>
              <w:jc w:val="center"/>
              <w:rPr>
                <w:b/>
                <w:bCs/>
              </w:rPr>
            </w:pPr>
            <w:r>
              <w:rPr>
                <w:b/>
                <w:bCs/>
              </w:rPr>
              <w:t>PAKIET STANDARD PIES</w:t>
            </w:r>
          </w:p>
        </w:tc>
      </w:tr>
      <w:tr w:rsidR="00E37823" w14:paraId="6F2E2D4D"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7BEF07F8" w14:textId="77777777" w:rsidR="00E37823" w:rsidRDefault="00E37823" w:rsidP="003C542E">
            <w:pPr>
              <w:spacing w:line="0" w:lineRule="atLeast"/>
              <w:ind w:right="20"/>
              <w:jc w:val="center"/>
              <w:rPr>
                <w:b/>
                <w:bCs/>
              </w:rPr>
            </w:pPr>
            <w:r>
              <w:rPr>
                <w:b/>
                <w:bCs/>
                <w:w w:val="99"/>
              </w:rPr>
              <w:t xml:space="preserve">Rodzaj usługi </w:t>
            </w:r>
          </w:p>
        </w:tc>
        <w:tc>
          <w:tcPr>
            <w:tcW w:w="5339" w:type="dxa"/>
            <w:gridSpan w:val="3"/>
            <w:tcBorders>
              <w:top w:val="single" w:sz="4" w:space="0" w:color="auto"/>
              <w:left w:val="single" w:sz="4" w:space="0" w:color="auto"/>
              <w:bottom w:val="single" w:sz="4" w:space="0" w:color="auto"/>
              <w:right w:val="single" w:sz="4" w:space="0" w:color="auto"/>
            </w:tcBorders>
            <w:hideMark/>
          </w:tcPr>
          <w:p w14:paraId="1C11BA8B" w14:textId="77777777" w:rsidR="00E37823" w:rsidRDefault="00E37823" w:rsidP="003C542E">
            <w:pPr>
              <w:spacing w:line="0" w:lineRule="atLeast"/>
              <w:ind w:right="20"/>
              <w:jc w:val="center"/>
              <w:rPr>
                <w:b/>
                <w:bCs/>
              </w:rPr>
            </w:pPr>
            <w:r>
              <w:rPr>
                <w:b/>
                <w:bCs/>
              </w:rPr>
              <w:t>Ilość / rodzaj usług w ciągu roku</w:t>
            </w:r>
          </w:p>
        </w:tc>
      </w:tr>
      <w:tr w:rsidR="00E37823" w14:paraId="6D8219C6"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598CD5C3" w14:textId="77777777" w:rsidR="00E37823" w:rsidRDefault="00E37823" w:rsidP="003C542E">
            <w:pPr>
              <w:spacing w:line="0" w:lineRule="atLeast"/>
              <w:ind w:right="20"/>
              <w:jc w:val="center"/>
            </w:pPr>
            <w:r>
              <w:rPr>
                <w:w w:val="99"/>
              </w:rPr>
              <w:t>Profilaktyczny przegląd zdrowia</w:t>
            </w:r>
          </w:p>
        </w:tc>
        <w:tc>
          <w:tcPr>
            <w:tcW w:w="5339" w:type="dxa"/>
            <w:gridSpan w:val="3"/>
            <w:tcBorders>
              <w:top w:val="single" w:sz="4" w:space="0" w:color="auto"/>
              <w:left w:val="single" w:sz="4" w:space="0" w:color="auto"/>
              <w:bottom w:val="single" w:sz="4" w:space="0" w:color="auto"/>
              <w:right w:val="single" w:sz="4" w:space="0" w:color="auto"/>
            </w:tcBorders>
            <w:hideMark/>
          </w:tcPr>
          <w:p w14:paraId="0AF17E2C" w14:textId="77777777" w:rsidR="00E37823" w:rsidRDefault="00E37823" w:rsidP="003C542E">
            <w:pPr>
              <w:spacing w:line="0" w:lineRule="atLeast"/>
              <w:ind w:right="20"/>
              <w:jc w:val="center"/>
            </w:pPr>
            <w:r>
              <w:t>1</w:t>
            </w:r>
          </w:p>
        </w:tc>
      </w:tr>
      <w:tr w:rsidR="00E37823" w14:paraId="71B76948" w14:textId="77777777" w:rsidTr="003C542E">
        <w:tc>
          <w:tcPr>
            <w:tcW w:w="3691" w:type="dxa"/>
            <w:tcBorders>
              <w:top w:val="single" w:sz="4" w:space="0" w:color="auto"/>
              <w:left w:val="single" w:sz="4" w:space="0" w:color="auto"/>
              <w:bottom w:val="single" w:sz="4" w:space="0" w:color="auto"/>
              <w:right w:val="single" w:sz="4" w:space="0" w:color="auto"/>
            </w:tcBorders>
            <w:vAlign w:val="bottom"/>
            <w:hideMark/>
          </w:tcPr>
          <w:p w14:paraId="3323BF2F" w14:textId="77777777" w:rsidR="00E37823" w:rsidRDefault="00E37823" w:rsidP="003C542E">
            <w:pPr>
              <w:spacing w:line="0" w:lineRule="atLeast"/>
              <w:ind w:right="20"/>
              <w:jc w:val="center"/>
            </w:pPr>
            <w:r>
              <w:rPr>
                <w:w w:val="99"/>
              </w:rPr>
              <w:t>Wizyta w przypadku choroby</w:t>
            </w:r>
          </w:p>
        </w:tc>
        <w:tc>
          <w:tcPr>
            <w:tcW w:w="5339" w:type="dxa"/>
            <w:gridSpan w:val="3"/>
            <w:tcBorders>
              <w:top w:val="single" w:sz="4" w:space="0" w:color="auto"/>
              <w:left w:val="single" w:sz="4" w:space="0" w:color="auto"/>
              <w:bottom w:val="single" w:sz="4" w:space="0" w:color="auto"/>
              <w:right w:val="single" w:sz="4" w:space="0" w:color="auto"/>
            </w:tcBorders>
            <w:hideMark/>
          </w:tcPr>
          <w:p w14:paraId="7D6A4A75" w14:textId="77777777" w:rsidR="00E37823" w:rsidRDefault="00E37823" w:rsidP="003C542E">
            <w:pPr>
              <w:spacing w:line="0" w:lineRule="atLeast"/>
              <w:ind w:right="20"/>
              <w:jc w:val="center"/>
            </w:pPr>
            <w:r>
              <w:t>1</w:t>
            </w:r>
          </w:p>
        </w:tc>
      </w:tr>
      <w:tr w:rsidR="00E37823" w14:paraId="0AA7A528" w14:textId="77777777" w:rsidTr="003C542E">
        <w:tc>
          <w:tcPr>
            <w:tcW w:w="3691" w:type="dxa"/>
            <w:tcBorders>
              <w:top w:val="single" w:sz="4" w:space="0" w:color="auto"/>
              <w:left w:val="single" w:sz="4" w:space="0" w:color="auto"/>
              <w:bottom w:val="single" w:sz="4" w:space="0" w:color="auto"/>
              <w:right w:val="single" w:sz="4" w:space="0" w:color="auto"/>
            </w:tcBorders>
            <w:vAlign w:val="bottom"/>
            <w:hideMark/>
          </w:tcPr>
          <w:p w14:paraId="244ED5E3" w14:textId="77777777" w:rsidR="00E37823" w:rsidRDefault="00E37823" w:rsidP="003C542E">
            <w:pPr>
              <w:spacing w:line="0" w:lineRule="atLeast"/>
              <w:ind w:right="20"/>
              <w:jc w:val="center"/>
              <w:rPr>
                <w:w w:val="99"/>
              </w:rPr>
            </w:pPr>
            <w:r>
              <w:rPr>
                <w:w w:val="99"/>
              </w:rPr>
              <w:t>Wizyta kontrolna</w:t>
            </w:r>
          </w:p>
        </w:tc>
        <w:tc>
          <w:tcPr>
            <w:tcW w:w="5339" w:type="dxa"/>
            <w:gridSpan w:val="3"/>
            <w:tcBorders>
              <w:top w:val="single" w:sz="4" w:space="0" w:color="auto"/>
              <w:left w:val="single" w:sz="4" w:space="0" w:color="auto"/>
              <w:bottom w:val="single" w:sz="4" w:space="0" w:color="auto"/>
              <w:right w:val="single" w:sz="4" w:space="0" w:color="auto"/>
            </w:tcBorders>
            <w:hideMark/>
          </w:tcPr>
          <w:p w14:paraId="7F701A23" w14:textId="77777777" w:rsidR="00E37823" w:rsidRDefault="00E37823" w:rsidP="003C542E">
            <w:pPr>
              <w:spacing w:line="0" w:lineRule="atLeast"/>
              <w:ind w:right="20"/>
              <w:jc w:val="center"/>
            </w:pPr>
            <w:r>
              <w:t>1</w:t>
            </w:r>
          </w:p>
        </w:tc>
      </w:tr>
      <w:tr w:rsidR="00E37823" w14:paraId="3A1BEC23" w14:textId="77777777" w:rsidTr="003C542E">
        <w:tc>
          <w:tcPr>
            <w:tcW w:w="3691" w:type="dxa"/>
            <w:tcBorders>
              <w:top w:val="single" w:sz="4" w:space="0" w:color="auto"/>
              <w:left w:val="single" w:sz="4" w:space="0" w:color="auto"/>
              <w:bottom w:val="single" w:sz="4" w:space="0" w:color="auto"/>
              <w:right w:val="single" w:sz="4" w:space="0" w:color="auto"/>
            </w:tcBorders>
            <w:vAlign w:val="bottom"/>
            <w:hideMark/>
          </w:tcPr>
          <w:p w14:paraId="5C77AD7F" w14:textId="77777777" w:rsidR="00E37823" w:rsidRDefault="00E37823" w:rsidP="003C542E">
            <w:pPr>
              <w:spacing w:line="0" w:lineRule="atLeast"/>
              <w:ind w:right="20"/>
              <w:jc w:val="center"/>
              <w:rPr>
                <w:w w:val="99"/>
              </w:rPr>
            </w:pPr>
            <w:r>
              <w:rPr>
                <w:w w:val="99"/>
              </w:rPr>
              <w:t>Czipowanie</w:t>
            </w:r>
          </w:p>
        </w:tc>
        <w:tc>
          <w:tcPr>
            <w:tcW w:w="5339" w:type="dxa"/>
            <w:gridSpan w:val="3"/>
            <w:tcBorders>
              <w:top w:val="single" w:sz="4" w:space="0" w:color="auto"/>
              <w:left w:val="single" w:sz="4" w:space="0" w:color="auto"/>
              <w:bottom w:val="single" w:sz="4" w:space="0" w:color="auto"/>
              <w:right w:val="single" w:sz="4" w:space="0" w:color="auto"/>
            </w:tcBorders>
            <w:hideMark/>
          </w:tcPr>
          <w:p w14:paraId="7647C34A" w14:textId="77777777" w:rsidR="00E37823" w:rsidRDefault="00E37823" w:rsidP="003C542E">
            <w:pPr>
              <w:spacing w:line="0" w:lineRule="atLeast"/>
              <w:ind w:right="20"/>
              <w:jc w:val="center"/>
            </w:pPr>
            <w:r>
              <w:t>1</w:t>
            </w:r>
          </w:p>
        </w:tc>
      </w:tr>
      <w:tr w:rsidR="00E37823" w14:paraId="276256A7"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5C3ED71A" w14:textId="77777777" w:rsidR="00E37823" w:rsidRDefault="00E37823" w:rsidP="003C542E">
            <w:pPr>
              <w:spacing w:line="0" w:lineRule="atLeast"/>
              <w:ind w:right="20"/>
              <w:jc w:val="center"/>
            </w:pPr>
            <w:r>
              <w:t>Porada online</w:t>
            </w:r>
          </w:p>
        </w:tc>
        <w:tc>
          <w:tcPr>
            <w:tcW w:w="5339" w:type="dxa"/>
            <w:gridSpan w:val="3"/>
            <w:tcBorders>
              <w:top w:val="single" w:sz="4" w:space="0" w:color="auto"/>
              <w:left w:val="single" w:sz="4" w:space="0" w:color="auto"/>
              <w:bottom w:val="single" w:sz="4" w:space="0" w:color="auto"/>
              <w:right w:val="single" w:sz="4" w:space="0" w:color="auto"/>
            </w:tcBorders>
            <w:hideMark/>
          </w:tcPr>
          <w:p w14:paraId="71CED8DC" w14:textId="54ACEC44" w:rsidR="00E37823" w:rsidRDefault="005557A1" w:rsidP="003C542E">
            <w:pPr>
              <w:spacing w:line="0" w:lineRule="atLeast"/>
              <w:ind w:right="20"/>
              <w:jc w:val="center"/>
            </w:pPr>
            <w:r>
              <w:t>3</w:t>
            </w:r>
          </w:p>
        </w:tc>
      </w:tr>
      <w:tr w:rsidR="00E37823" w14:paraId="79FE512D"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02A2F959" w14:textId="77777777" w:rsidR="00E37823" w:rsidRDefault="00E37823" w:rsidP="003C542E">
            <w:pPr>
              <w:spacing w:line="0" w:lineRule="atLeast"/>
              <w:ind w:right="20"/>
              <w:jc w:val="center"/>
            </w:pPr>
            <w:r>
              <w:rPr>
                <w:w w:val="99"/>
              </w:rPr>
              <w:t>Budżet na preparaty przeciwko ekto i endopasożytom</w:t>
            </w:r>
          </w:p>
        </w:tc>
        <w:tc>
          <w:tcPr>
            <w:tcW w:w="5339" w:type="dxa"/>
            <w:gridSpan w:val="3"/>
            <w:tcBorders>
              <w:top w:val="single" w:sz="4" w:space="0" w:color="auto"/>
              <w:left w:val="single" w:sz="4" w:space="0" w:color="auto"/>
              <w:bottom w:val="single" w:sz="4" w:space="0" w:color="auto"/>
              <w:right w:val="single" w:sz="4" w:space="0" w:color="auto"/>
            </w:tcBorders>
            <w:hideMark/>
          </w:tcPr>
          <w:p w14:paraId="4144730B" w14:textId="77777777" w:rsidR="00E37823" w:rsidRDefault="00E37823" w:rsidP="003C542E">
            <w:pPr>
              <w:spacing w:line="0" w:lineRule="atLeast"/>
              <w:ind w:right="20"/>
              <w:jc w:val="center"/>
            </w:pPr>
            <w:r>
              <w:t>200 zł</w:t>
            </w:r>
          </w:p>
        </w:tc>
      </w:tr>
      <w:tr w:rsidR="00E37823" w14:paraId="4F74E611"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2C7D1692" w14:textId="77777777" w:rsidR="00E37823" w:rsidRDefault="00E37823" w:rsidP="003C542E">
            <w:pPr>
              <w:spacing w:line="0" w:lineRule="atLeast"/>
              <w:ind w:right="20"/>
              <w:jc w:val="center"/>
            </w:pPr>
            <w:r>
              <w:rPr>
                <w:w w:val="99"/>
              </w:rPr>
              <w:t>Szczepienia</w:t>
            </w:r>
          </w:p>
        </w:tc>
        <w:tc>
          <w:tcPr>
            <w:tcW w:w="5339" w:type="dxa"/>
            <w:gridSpan w:val="3"/>
            <w:tcBorders>
              <w:top w:val="single" w:sz="4" w:space="0" w:color="auto"/>
              <w:left w:val="single" w:sz="4" w:space="0" w:color="auto"/>
              <w:bottom w:val="single" w:sz="4" w:space="0" w:color="auto"/>
              <w:right w:val="single" w:sz="4" w:space="0" w:color="auto"/>
            </w:tcBorders>
            <w:hideMark/>
          </w:tcPr>
          <w:p w14:paraId="55D7B62E" w14:textId="77777777" w:rsidR="00E37823" w:rsidRDefault="00E37823" w:rsidP="003C542E">
            <w:pPr>
              <w:spacing w:line="0" w:lineRule="atLeast"/>
              <w:ind w:right="20"/>
              <w:jc w:val="center"/>
            </w:pPr>
            <w:r>
              <w:rPr>
                <w:w w:val="99"/>
              </w:rPr>
              <w:t>1 Szczepienie przeciwko wściekliźnie</w:t>
            </w:r>
          </w:p>
        </w:tc>
      </w:tr>
      <w:tr w:rsidR="00E37823" w14:paraId="5E14F7A9" w14:textId="77777777" w:rsidTr="003C542E">
        <w:trPr>
          <w:trHeight w:val="132"/>
        </w:trPr>
        <w:tc>
          <w:tcPr>
            <w:tcW w:w="3691" w:type="dxa"/>
            <w:vMerge w:val="restart"/>
            <w:tcBorders>
              <w:top w:val="single" w:sz="4" w:space="0" w:color="auto"/>
              <w:left w:val="single" w:sz="4" w:space="0" w:color="auto"/>
              <w:bottom w:val="single" w:sz="4" w:space="0" w:color="auto"/>
              <w:right w:val="single" w:sz="4" w:space="0" w:color="auto"/>
            </w:tcBorders>
            <w:hideMark/>
          </w:tcPr>
          <w:p w14:paraId="52AAEE78" w14:textId="77777777" w:rsidR="00E37823" w:rsidRDefault="00E37823" w:rsidP="003C542E">
            <w:pPr>
              <w:spacing w:line="0" w:lineRule="atLeast"/>
              <w:ind w:right="20"/>
              <w:jc w:val="center"/>
            </w:pPr>
            <w:r>
              <w:rPr>
                <w:w w:val="99"/>
              </w:rPr>
              <w:t>Badania laboratoryjne</w:t>
            </w:r>
          </w:p>
        </w:tc>
        <w:tc>
          <w:tcPr>
            <w:tcW w:w="2257" w:type="dxa"/>
            <w:tcBorders>
              <w:top w:val="single" w:sz="4" w:space="0" w:color="auto"/>
              <w:left w:val="single" w:sz="4" w:space="0" w:color="auto"/>
              <w:bottom w:val="single" w:sz="4" w:space="0" w:color="auto"/>
              <w:right w:val="single" w:sz="4" w:space="0" w:color="auto"/>
            </w:tcBorders>
            <w:hideMark/>
          </w:tcPr>
          <w:p w14:paraId="028B58B3" w14:textId="77777777" w:rsidR="00E37823" w:rsidRDefault="00E37823" w:rsidP="003C542E">
            <w:pPr>
              <w:spacing w:line="0" w:lineRule="atLeast"/>
              <w:ind w:right="20"/>
              <w:jc w:val="center"/>
            </w:pPr>
            <w:r>
              <w:t>Krew</w:t>
            </w:r>
          </w:p>
        </w:tc>
        <w:tc>
          <w:tcPr>
            <w:tcW w:w="1577" w:type="dxa"/>
            <w:tcBorders>
              <w:top w:val="single" w:sz="4" w:space="0" w:color="auto"/>
              <w:left w:val="single" w:sz="4" w:space="0" w:color="auto"/>
              <w:bottom w:val="single" w:sz="4" w:space="0" w:color="auto"/>
              <w:right w:val="single" w:sz="4" w:space="0" w:color="auto"/>
            </w:tcBorders>
            <w:hideMark/>
          </w:tcPr>
          <w:p w14:paraId="36D67C1B" w14:textId="77777777" w:rsidR="00E37823" w:rsidRDefault="00E37823" w:rsidP="003C542E">
            <w:pPr>
              <w:spacing w:line="0" w:lineRule="atLeast"/>
              <w:ind w:right="20"/>
              <w:jc w:val="center"/>
            </w:pPr>
            <w:r>
              <w:t>Mocz</w:t>
            </w:r>
          </w:p>
        </w:tc>
        <w:tc>
          <w:tcPr>
            <w:tcW w:w="1505" w:type="dxa"/>
            <w:tcBorders>
              <w:top w:val="single" w:sz="4" w:space="0" w:color="auto"/>
              <w:left w:val="single" w:sz="4" w:space="0" w:color="auto"/>
              <w:bottom w:val="single" w:sz="4" w:space="0" w:color="auto"/>
              <w:right w:val="single" w:sz="4" w:space="0" w:color="auto"/>
            </w:tcBorders>
            <w:hideMark/>
          </w:tcPr>
          <w:p w14:paraId="5D63F0AD" w14:textId="77777777" w:rsidR="00E37823" w:rsidRDefault="00E37823" w:rsidP="003C542E">
            <w:pPr>
              <w:spacing w:line="0" w:lineRule="atLeast"/>
              <w:ind w:right="20"/>
              <w:jc w:val="center"/>
            </w:pPr>
            <w:r>
              <w:t>Kał</w:t>
            </w:r>
          </w:p>
        </w:tc>
      </w:tr>
      <w:tr w:rsidR="00E37823" w14:paraId="619481D8" w14:textId="77777777" w:rsidTr="003C542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DEDED" w14:textId="77777777" w:rsidR="00E37823" w:rsidRDefault="00E37823" w:rsidP="003C542E"/>
        </w:tc>
        <w:tc>
          <w:tcPr>
            <w:tcW w:w="2257" w:type="dxa"/>
            <w:tcBorders>
              <w:top w:val="single" w:sz="4" w:space="0" w:color="auto"/>
              <w:left w:val="single" w:sz="4" w:space="0" w:color="auto"/>
              <w:bottom w:val="single" w:sz="4" w:space="0" w:color="auto"/>
              <w:right w:val="single" w:sz="4" w:space="0" w:color="auto"/>
            </w:tcBorders>
          </w:tcPr>
          <w:p w14:paraId="454D8DA4" w14:textId="77777777" w:rsidR="00E37823" w:rsidRDefault="00E37823" w:rsidP="003C542E">
            <w:pPr>
              <w:spacing w:line="0" w:lineRule="atLeast"/>
              <w:ind w:right="20"/>
              <w:jc w:val="center"/>
            </w:pPr>
            <w:r>
              <w:t>1 badanie podstawowe</w:t>
            </w:r>
          </w:p>
          <w:p w14:paraId="4B3F9FAC" w14:textId="77777777" w:rsidR="00E37823" w:rsidRDefault="00E37823" w:rsidP="003C542E">
            <w:pPr>
              <w:spacing w:line="0" w:lineRule="atLeast"/>
              <w:ind w:right="20"/>
              <w:jc w:val="center"/>
            </w:pPr>
          </w:p>
          <w:p w14:paraId="62DD742E" w14:textId="77777777" w:rsidR="00E37823" w:rsidRDefault="00E37823" w:rsidP="003C542E">
            <w:pPr>
              <w:spacing w:line="0" w:lineRule="atLeast"/>
              <w:ind w:right="20"/>
              <w:jc w:val="center"/>
            </w:pPr>
          </w:p>
        </w:tc>
        <w:tc>
          <w:tcPr>
            <w:tcW w:w="1577" w:type="dxa"/>
            <w:tcBorders>
              <w:top w:val="single" w:sz="4" w:space="0" w:color="auto"/>
              <w:left w:val="single" w:sz="4" w:space="0" w:color="auto"/>
              <w:bottom w:val="single" w:sz="4" w:space="0" w:color="auto"/>
              <w:right w:val="single" w:sz="4" w:space="0" w:color="auto"/>
            </w:tcBorders>
            <w:hideMark/>
          </w:tcPr>
          <w:p w14:paraId="64BEFBB9" w14:textId="1770BA82" w:rsidR="00E37823" w:rsidRDefault="005557A1" w:rsidP="003C542E">
            <w:pPr>
              <w:spacing w:line="0" w:lineRule="atLeast"/>
              <w:ind w:right="20"/>
              <w:jc w:val="center"/>
            </w:pPr>
            <w:r>
              <w:t>1</w:t>
            </w:r>
            <w:r w:rsidR="00E37823">
              <w:t xml:space="preserve"> badanie podstawowe</w:t>
            </w:r>
          </w:p>
        </w:tc>
        <w:tc>
          <w:tcPr>
            <w:tcW w:w="1505" w:type="dxa"/>
            <w:tcBorders>
              <w:top w:val="single" w:sz="4" w:space="0" w:color="auto"/>
              <w:left w:val="single" w:sz="4" w:space="0" w:color="auto"/>
              <w:bottom w:val="single" w:sz="4" w:space="0" w:color="auto"/>
              <w:right w:val="single" w:sz="4" w:space="0" w:color="auto"/>
            </w:tcBorders>
            <w:hideMark/>
          </w:tcPr>
          <w:p w14:paraId="0DCBE172" w14:textId="77777777" w:rsidR="00E37823" w:rsidRDefault="00E37823" w:rsidP="003C542E">
            <w:pPr>
              <w:spacing w:line="0" w:lineRule="atLeast"/>
              <w:ind w:right="20"/>
              <w:jc w:val="center"/>
            </w:pPr>
            <w:r>
              <w:t>1 badanie metodą flotacji</w:t>
            </w:r>
          </w:p>
        </w:tc>
      </w:tr>
      <w:tr w:rsidR="00E37823" w14:paraId="1F810E1B"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1946147C" w14:textId="77777777" w:rsidR="00E37823" w:rsidRDefault="00E37823" w:rsidP="003C542E">
            <w:pPr>
              <w:spacing w:line="0" w:lineRule="atLeast"/>
              <w:ind w:right="20"/>
              <w:jc w:val="center"/>
              <w:rPr>
                <w:w w:val="99"/>
              </w:rPr>
            </w:pPr>
            <w:r>
              <w:rPr>
                <w:w w:val="99"/>
              </w:rPr>
              <w:t>Usunięcie kleszcza</w:t>
            </w:r>
          </w:p>
        </w:tc>
        <w:tc>
          <w:tcPr>
            <w:tcW w:w="5339" w:type="dxa"/>
            <w:gridSpan w:val="3"/>
            <w:tcBorders>
              <w:top w:val="single" w:sz="4" w:space="0" w:color="auto"/>
              <w:left w:val="single" w:sz="4" w:space="0" w:color="auto"/>
              <w:bottom w:val="single" w:sz="4" w:space="0" w:color="auto"/>
              <w:right w:val="single" w:sz="4" w:space="0" w:color="auto"/>
            </w:tcBorders>
            <w:hideMark/>
          </w:tcPr>
          <w:p w14:paraId="308CAACB" w14:textId="77777777" w:rsidR="00E37823" w:rsidRDefault="00E37823" w:rsidP="003C542E">
            <w:pPr>
              <w:spacing w:line="0" w:lineRule="atLeast"/>
              <w:ind w:right="20"/>
              <w:jc w:val="center"/>
            </w:pPr>
            <w:r>
              <w:t>1</w:t>
            </w:r>
          </w:p>
        </w:tc>
      </w:tr>
      <w:tr w:rsidR="00E37823" w14:paraId="2930D32C"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3506EBEA" w14:textId="5DCBEEA4" w:rsidR="00E37823" w:rsidRDefault="00E37823" w:rsidP="003C542E">
            <w:pPr>
              <w:spacing w:line="0" w:lineRule="atLeast"/>
              <w:ind w:right="20"/>
              <w:jc w:val="center"/>
              <w:rPr>
                <w:w w:val="99"/>
              </w:rPr>
            </w:pPr>
            <w:r>
              <w:rPr>
                <w:w w:val="99"/>
              </w:rPr>
              <w:t>Toaleta gruczołów okołoodbytowych</w:t>
            </w:r>
          </w:p>
        </w:tc>
        <w:tc>
          <w:tcPr>
            <w:tcW w:w="5339" w:type="dxa"/>
            <w:gridSpan w:val="3"/>
            <w:tcBorders>
              <w:top w:val="single" w:sz="4" w:space="0" w:color="auto"/>
              <w:left w:val="single" w:sz="4" w:space="0" w:color="auto"/>
              <w:bottom w:val="single" w:sz="4" w:space="0" w:color="auto"/>
              <w:right w:val="single" w:sz="4" w:space="0" w:color="auto"/>
            </w:tcBorders>
            <w:hideMark/>
          </w:tcPr>
          <w:p w14:paraId="65953C22" w14:textId="77777777" w:rsidR="00E37823" w:rsidRDefault="00E37823" w:rsidP="003C542E">
            <w:pPr>
              <w:spacing w:line="0" w:lineRule="atLeast"/>
              <w:ind w:right="20"/>
              <w:jc w:val="center"/>
            </w:pPr>
            <w:r>
              <w:t>1</w:t>
            </w:r>
          </w:p>
        </w:tc>
      </w:tr>
      <w:tr w:rsidR="00E37823" w14:paraId="6291F354" w14:textId="77777777" w:rsidTr="003C542E">
        <w:tc>
          <w:tcPr>
            <w:tcW w:w="3691" w:type="dxa"/>
            <w:tcBorders>
              <w:top w:val="single" w:sz="4" w:space="0" w:color="auto"/>
              <w:left w:val="single" w:sz="4" w:space="0" w:color="auto"/>
              <w:bottom w:val="single" w:sz="4" w:space="0" w:color="auto"/>
              <w:right w:val="single" w:sz="4" w:space="0" w:color="auto"/>
            </w:tcBorders>
            <w:hideMark/>
          </w:tcPr>
          <w:p w14:paraId="51220B43" w14:textId="77777777" w:rsidR="00E37823" w:rsidRDefault="00E37823" w:rsidP="003C542E">
            <w:pPr>
              <w:spacing w:line="0" w:lineRule="atLeast"/>
              <w:ind w:right="20"/>
              <w:jc w:val="center"/>
            </w:pPr>
            <w:r>
              <w:rPr>
                <w:w w:val="99"/>
              </w:rPr>
              <w:t>Obcinanie pazurów</w:t>
            </w:r>
          </w:p>
        </w:tc>
        <w:tc>
          <w:tcPr>
            <w:tcW w:w="5339" w:type="dxa"/>
            <w:gridSpan w:val="3"/>
            <w:tcBorders>
              <w:top w:val="single" w:sz="4" w:space="0" w:color="auto"/>
              <w:left w:val="single" w:sz="4" w:space="0" w:color="auto"/>
              <w:bottom w:val="single" w:sz="4" w:space="0" w:color="auto"/>
              <w:right w:val="single" w:sz="4" w:space="0" w:color="auto"/>
            </w:tcBorders>
            <w:hideMark/>
          </w:tcPr>
          <w:p w14:paraId="2216DFBC" w14:textId="77777777" w:rsidR="00E37823" w:rsidRDefault="00E37823" w:rsidP="003C542E">
            <w:pPr>
              <w:spacing w:line="0" w:lineRule="atLeast"/>
              <w:ind w:right="20"/>
              <w:jc w:val="center"/>
            </w:pPr>
            <w:r>
              <w:t>1</w:t>
            </w:r>
          </w:p>
        </w:tc>
      </w:tr>
    </w:tbl>
    <w:p w14:paraId="1430DB06" w14:textId="77777777" w:rsidR="00E37823" w:rsidRDefault="00E37823" w:rsidP="00E37823"/>
    <w:p w14:paraId="314F322C" w14:textId="77777777" w:rsidR="00E37823" w:rsidRPr="00E70AD7" w:rsidRDefault="00E37823" w:rsidP="00E37823">
      <w:pPr>
        <w:numPr>
          <w:ilvl w:val="0"/>
          <w:numId w:val="1"/>
        </w:numPr>
        <w:tabs>
          <w:tab w:val="left" w:pos="720"/>
        </w:tabs>
        <w:spacing w:line="228" w:lineRule="auto"/>
        <w:ind w:left="698" w:right="227" w:hanging="363"/>
        <w:jc w:val="both"/>
        <w:rPr>
          <w:rFonts w:cstheme="minorHAnsi"/>
        </w:rPr>
      </w:pPr>
      <w:r w:rsidRPr="00E70AD7">
        <w:rPr>
          <w:rFonts w:cstheme="minorHAnsi"/>
        </w:rPr>
        <w:t xml:space="preserve">Preparaty przeciwko pchłom i kleszczom oraz pasożytom wewnętrznym. Preparaty dla zwierzaka dobiera indywidualnie lekarz weterynarii w ramach dostępnego budżetu. </w:t>
      </w:r>
    </w:p>
    <w:p w14:paraId="46449647" w14:textId="77777777" w:rsidR="00E37823" w:rsidRPr="00E70AD7" w:rsidRDefault="00E37823" w:rsidP="00E37823">
      <w:pPr>
        <w:tabs>
          <w:tab w:val="left" w:pos="720"/>
        </w:tabs>
        <w:spacing w:line="228" w:lineRule="auto"/>
        <w:ind w:left="698" w:right="227" w:hanging="363"/>
        <w:jc w:val="both"/>
        <w:rPr>
          <w:rFonts w:cstheme="minorHAnsi"/>
        </w:rPr>
      </w:pPr>
    </w:p>
    <w:p w14:paraId="504608E5" w14:textId="77777777" w:rsidR="00E37823" w:rsidRPr="00E70AD7" w:rsidRDefault="00E37823" w:rsidP="00E37823">
      <w:pPr>
        <w:numPr>
          <w:ilvl w:val="0"/>
          <w:numId w:val="1"/>
        </w:numPr>
        <w:tabs>
          <w:tab w:val="left" w:pos="720"/>
        </w:tabs>
        <w:spacing w:line="228" w:lineRule="auto"/>
        <w:ind w:left="698" w:right="227" w:hanging="363"/>
        <w:jc w:val="both"/>
        <w:rPr>
          <w:rFonts w:cstheme="minorHAnsi"/>
          <w:color w:val="2A3238"/>
        </w:rPr>
      </w:pPr>
      <w:r w:rsidRPr="00E70AD7">
        <w:rPr>
          <w:rFonts w:cstheme="minorHAnsi"/>
          <w:color w:val="2A3238"/>
        </w:rPr>
        <w:t>Badania krwi.</w:t>
      </w:r>
    </w:p>
    <w:p w14:paraId="29D010A2" w14:textId="77777777" w:rsidR="00E37823" w:rsidRPr="00E70AD7" w:rsidRDefault="00E37823" w:rsidP="00E37823">
      <w:pPr>
        <w:spacing w:line="228" w:lineRule="auto"/>
        <w:ind w:left="698" w:right="227" w:hanging="363"/>
        <w:jc w:val="both"/>
        <w:rPr>
          <w:rFonts w:eastAsia="Times New Roman" w:cstheme="minorHAnsi"/>
        </w:rPr>
      </w:pPr>
      <w:r w:rsidRPr="00E70AD7">
        <w:rPr>
          <w:rFonts w:cstheme="minorHAnsi"/>
          <w:noProof/>
          <w:color w:val="2A3238"/>
        </w:rPr>
        <mc:AlternateContent>
          <mc:Choice Requires="wps">
            <w:drawing>
              <wp:anchor distT="0" distB="0" distL="114300" distR="114300" simplePos="0" relativeHeight="251660288" behindDoc="1" locked="0" layoutInCell="1" allowOverlap="1" wp14:anchorId="7C6AAF0D" wp14:editId="23CA7F09">
                <wp:simplePos x="0" y="0"/>
                <wp:positionH relativeFrom="column">
                  <wp:posOffset>581025</wp:posOffset>
                </wp:positionH>
                <wp:positionV relativeFrom="paragraph">
                  <wp:posOffset>6350</wp:posOffset>
                </wp:positionV>
                <wp:extent cx="4601845" cy="0"/>
                <wp:effectExtent l="9525" t="13335" r="8255" b="571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1845" cy="0"/>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8A43" id="Łącznik prosty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5pt" to="40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" strokecolor="#7f7f7f" strokeweight=".48pt"/>
            </w:pict>
          </mc:Fallback>
        </mc:AlternateContent>
      </w:r>
    </w:p>
    <w:tbl>
      <w:tblPr>
        <w:tblW w:w="0" w:type="auto"/>
        <w:tblInd w:w="900" w:type="dxa"/>
        <w:tblLayout w:type="fixed"/>
        <w:tblCellMar>
          <w:left w:w="0" w:type="dxa"/>
          <w:right w:w="0" w:type="dxa"/>
        </w:tblCellMar>
        <w:tblLook w:val="0000" w:firstRow="0" w:lastRow="0" w:firstColumn="0" w:lastColumn="0" w:noHBand="0" w:noVBand="0"/>
      </w:tblPr>
      <w:tblGrid>
        <w:gridCol w:w="20"/>
        <w:gridCol w:w="2900"/>
        <w:gridCol w:w="4340"/>
      </w:tblGrid>
      <w:tr w:rsidR="00E37823" w:rsidRPr="00E70AD7" w14:paraId="4BC1246C" w14:textId="77777777" w:rsidTr="003C542E">
        <w:trPr>
          <w:trHeight w:val="269"/>
        </w:trPr>
        <w:tc>
          <w:tcPr>
            <w:tcW w:w="20" w:type="dxa"/>
            <w:shd w:val="clear" w:color="auto" w:fill="auto"/>
            <w:vAlign w:val="bottom"/>
          </w:tcPr>
          <w:p w14:paraId="2E1AEFB8" w14:textId="77777777" w:rsidR="00E37823" w:rsidRPr="00E70AD7" w:rsidRDefault="00E37823" w:rsidP="003C542E">
            <w:pPr>
              <w:spacing w:line="228" w:lineRule="auto"/>
              <w:ind w:left="698" w:right="227" w:hanging="363"/>
              <w:jc w:val="both"/>
              <w:rPr>
                <w:rFonts w:eastAsia="Times New Roman" w:cstheme="minorHAnsi"/>
              </w:rPr>
            </w:pPr>
          </w:p>
        </w:tc>
        <w:tc>
          <w:tcPr>
            <w:tcW w:w="2900" w:type="dxa"/>
            <w:shd w:val="clear" w:color="auto" w:fill="auto"/>
            <w:vAlign w:val="bottom"/>
          </w:tcPr>
          <w:p w14:paraId="5A6B29A7"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Badanie podstawowe</w:t>
            </w:r>
          </w:p>
        </w:tc>
        <w:tc>
          <w:tcPr>
            <w:tcW w:w="4340" w:type="dxa"/>
            <w:shd w:val="clear" w:color="auto" w:fill="auto"/>
            <w:vAlign w:val="bottom"/>
          </w:tcPr>
          <w:p w14:paraId="5C29D444"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Ok. 7 oznaczeń biochemicznych i</w:t>
            </w:r>
          </w:p>
        </w:tc>
      </w:tr>
      <w:tr w:rsidR="00E37823" w:rsidRPr="00E70AD7" w14:paraId="5420C2ED" w14:textId="77777777" w:rsidTr="003C542E">
        <w:trPr>
          <w:trHeight w:val="272"/>
        </w:trPr>
        <w:tc>
          <w:tcPr>
            <w:tcW w:w="20" w:type="dxa"/>
            <w:shd w:val="clear" w:color="auto" w:fill="auto"/>
            <w:vAlign w:val="bottom"/>
          </w:tcPr>
          <w:p w14:paraId="4B9F1668" w14:textId="77777777" w:rsidR="00E37823" w:rsidRPr="00E70AD7" w:rsidRDefault="00E37823" w:rsidP="003C542E">
            <w:pPr>
              <w:spacing w:line="228" w:lineRule="auto"/>
              <w:ind w:left="698" w:right="227" w:hanging="363"/>
              <w:jc w:val="both"/>
              <w:rPr>
                <w:rFonts w:eastAsia="Times New Roman" w:cstheme="minorHAnsi"/>
              </w:rPr>
            </w:pPr>
          </w:p>
        </w:tc>
        <w:tc>
          <w:tcPr>
            <w:tcW w:w="2900" w:type="dxa"/>
            <w:tcBorders>
              <w:bottom w:val="single" w:sz="8" w:space="0" w:color="7F7F7F"/>
            </w:tcBorders>
            <w:shd w:val="clear" w:color="auto" w:fill="auto"/>
            <w:vAlign w:val="bottom"/>
          </w:tcPr>
          <w:p w14:paraId="312B5F16" w14:textId="77777777" w:rsidR="00E37823" w:rsidRPr="00E70AD7" w:rsidRDefault="00E37823" w:rsidP="003C542E">
            <w:pPr>
              <w:spacing w:line="228" w:lineRule="auto"/>
              <w:ind w:left="698" w:right="227" w:hanging="363"/>
              <w:jc w:val="both"/>
              <w:rPr>
                <w:rFonts w:eastAsia="Times New Roman" w:cstheme="minorHAnsi"/>
              </w:rPr>
            </w:pPr>
          </w:p>
        </w:tc>
        <w:tc>
          <w:tcPr>
            <w:tcW w:w="4340" w:type="dxa"/>
            <w:tcBorders>
              <w:bottom w:val="single" w:sz="8" w:space="0" w:color="7F7F7F"/>
            </w:tcBorders>
            <w:shd w:val="clear" w:color="auto" w:fill="auto"/>
            <w:vAlign w:val="bottom"/>
          </w:tcPr>
          <w:p w14:paraId="67EB9785"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morfologia</w:t>
            </w:r>
          </w:p>
        </w:tc>
      </w:tr>
      <w:tr w:rsidR="00E37823" w:rsidRPr="00E70AD7" w14:paraId="24034ECF" w14:textId="77777777" w:rsidTr="003C542E">
        <w:trPr>
          <w:trHeight w:val="255"/>
        </w:trPr>
        <w:tc>
          <w:tcPr>
            <w:tcW w:w="20" w:type="dxa"/>
            <w:shd w:val="clear" w:color="auto" w:fill="auto"/>
            <w:vAlign w:val="bottom"/>
          </w:tcPr>
          <w:p w14:paraId="07E2D05F" w14:textId="77777777" w:rsidR="00E37823" w:rsidRPr="00E70AD7" w:rsidRDefault="00E37823" w:rsidP="003C542E">
            <w:pPr>
              <w:spacing w:line="228" w:lineRule="auto"/>
              <w:ind w:left="698" w:right="227" w:hanging="363"/>
              <w:jc w:val="both"/>
              <w:rPr>
                <w:rFonts w:eastAsia="Times New Roman" w:cstheme="minorHAnsi"/>
              </w:rPr>
            </w:pPr>
          </w:p>
        </w:tc>
        <w:tc>
          <w:tcPr>
            <w:tcW w:w="2900" w:type="dxa"/>
            <w:shd w:val="clear" w:color="auto" w:fill="auto"/>
            <w:vAlign w:val="bottom"/>
          </w:tcPr>
          <w:p w14:paraId="236090EC"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Badanie rozszerzone</w:t>
            </w:r>
          </w:p>
        </w:tc>
        <w:tc>
          <w:tcPr>
            <w:tcW w:w="4340" w:type="dxa"/>
            <w:shd w:val="clear" w:color="auto" w:fill="auto"/>
            <w:vAlign w:val="bottom"/>
          </w:tcPr>
          <w:p w14:paraId="4AA4815B"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Ok. 11 oznaczeń biochemicznych i</w:t>
            </w:r>
          </w:p>
        </w:tc>
      </w:tr>
      <w:tr w:rsidR="00E37823" w:rsidRPr="00E70AD7" w14:paraId="4AFFBADC" w14:textId="77777777" w:rsidTr="003C542E">
        <w:trPr>
          <w:trHeight w:val="272"/>
        </w:trPr>
        <w:tc>
          <w:tcPr>
            <w:tcW w:w="20" w:type="dxa"/>
            <w:tcBorders>
              <w:bottom w:val="single" w:sz="8" w:space="0" w:color="7F7F7F"/>
            </w:tcBorders>
            <w:shd w:val="clear" w:color="auto" w:fill="auto"/>
            <w:vAlign w:val="bottom"/>
          </w:tcPr>
          <w:p w14:paraId="2DF3315E" w14:textId="77777777" w:rsidR="00E37823" w:rsidRPr="00E70AD7" w:rsidRDefault="00E37823" w:rsidP="003C542E">
            <w:pPr>
              <w:spacing w:line="228" w:lineRule="auto"/>
              <w:ind w:left="698" w:right="227" w:hanging="363"/>
              <w:jc w:val="both"/>
              <w:rPr>
                <w:rFonts w:eastAsia="Times New Roman" w:cstheme="minorHAnsi"/>
              </w:rPr>
            </w:pPr>
          </w:p>
        </w:tc>
        <w:tc>
          <w:tcPr>
            <w:tcW w:w="2900" w:type="dxa"/>
            <w:tcBorders>
              <w:bottom w:val="single" w:sz="8" w:space="0" w:color="7F7F7F"/>
            </w:tcBorders>
            <w:shd w:val="clear" w:color="auto" w:fill="auto"/>
            <w:vAlign w:val="bottom"/>
          </w:tcPr>
          <w:p w14:paraId="65B9B8A4" w14:textId="77777777" w:rsidR="00E37823" w:rsidRPr="00E70AD7" w:rsidRDefault="00E37823" w:rsidP="003C542E">
            <w:pPr>
              <w:spacing w:line="228" w:lineRule="auto"/>
              <w:ind w:left="698" w:right="227" w:hanging="363"/>
              <w:jc w:val="both"/>
              <w:rPr>
                <w:rFonts w:eastAsia="Times New Roman" w:cstheme="minorHAnsi"/>
              </w:rPr>
            </w:pPr>
          </w:p>
        </w:tc>
        <w:tc>
          <w:tcPr>
            <w:tcW w:w="4340" w:type="dxa"/>
            <w:tcBorders>
              <w:bottom w:val="single" w:sz="8" w:space="0" w:color="7F7F7F"/>
            </w:tcBorders>
            <w:shd w:val="clear" w:color="auto" w:fill="auto"/>
            <w:vAlign w:val="bottom"/>
          </w:tcPr>
          <w:p w14:paraId="20ED4F16"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morfologia</w:t>
            </w:r>
          </w:p>
        </w:tc>
      </w:tr>
    </w:tbl>
    <w:p w14:paraId="4FB068C8" w14:textId="77777777" w:rsidR="00E37823" w:rsidRPr="00E70AD7" w:rsidRDefault="00E37823" w:rsidP="00E37823">
      <w:pPr>
        <w:spacing w:line="228" w:lineRule="auto"/>
        <w:ind w:left="698" w:right="227" w:hanging="363"/>
        <w:jc w:val="both"/>
        <w:rPr>
          <w:rFonts w:cstheme="minorHAnsi"/>
          <w:color w:val="2A3238"/>
        </w:rPr>
      </w:pPr>
      <w:r w:rsidRPr="00E70AD7">
        <w:rPr>
          <w:rFonts w:cstheme="minorHAnsi"/>
          <w:color w:val="2A3238"/>
        </w:rPr>
        <w:t>Nie narzucamy lekarzom weterynarii laboratorium z jakim mają współpracować, ilość i zakres parametrów może nieznacznie różnić się w zależności od tego z jakim laboratorium współpracuje dany lekarz.</w:t>
      </w:r>
    </w:p>
    <w:p w14:paraId="3DB098D9" w14:textId="77777777" w:rsidR="00E37823" w:rsidRPr="00E70AD7" w:rsidRDefault="00E37823" w:rsidP="00E37823">
      <w:pPr>
        <w:spacing w:line="228" w:lineRule="auto"/>
        <w:ind w:left="698" w:right="227" w:hanging="363"/>
        <w:jc w:val="both"/>
        <w:rPr>
          <w:rFonts w:cstheme="minorHAnsi"/>
          <w:b/>
          <w:color w:val="2A3238"/>
        </w:rPr>
      </w:pPr>
    </w:p>
    <w:p w14:paraId="3AE48EA8" w14:textId="77777777" w:rsidR="00E37823" w:rsidRPr="00E70AD7" w:rsidRDefault="00E37823" w:rsidP="00E37823">
      <w:pPr>
        <w:numPr>
          <w:ilvl w:val="0"/>
          <w:numId w:val="1"/>
        </w:numPr>
        <w:tabs>
          <w:tab w:val="left" w:pos="700"/>
        </w:tabs>
        <w:spacing w:line="228" w:lineRule="auto"/>
        <w:ind w:left="698" w:right="227" w:hanging="363"/>
        <w:jc w:val="both"/>
        <w:rPr>
          <w:rFonts w:cstheme="minorHAnsi"/>
          <w:color w:val="2A3238"/>
        </w:rPr>
      </w:pPr>
      <w:r w:rsidRPr="00E70AD7">
        <w:rPr>
          <w:rFonts w:cstheme="minorHAnsi"/>
          <w:color w:val="2A3238"/>
        </w:rPr>
        <w:t>Badania moczu.</w:t>
      </w:r>
    </w:p>
    <w:tbl>
      <w:tblPr>
        <w:tblW w:w="0" w:type="auto"/>
        <w:tblInd w:w="720" w:type="dxa"/>
        <w:tblLayout w:type="fixed"/>
        <w:tblCellMar>
          <w:left w:w="0" w:type="dxa"/>
          <w:right w:w="0" w:type="dxa"/>
        </w:tblCellMar>
        <w:tblLook w:val="0000" w:firstRow="0" w:lastRow="0" w:firstColumn="0" w:lastColumn="0" w:noHBand="0" w:noVBand="0"/>
      </w:tblPr>
      <w:tblGrid>
        <w:gridCol w:w="3000"/>
        <w:gridCol w:w="4600"/>
      </w:tblGrid>
      <w:tr w:rsidR="00E37823" w:rsidRPr="00E70AD7" w14:paraId="71390769" w14:textId="77777777" w:rsidTr="003C542E">
        <w:trPr>
          <w:trHeight w:val="269"/>
        </w:trPr>
        <w:tc>
          <w:tcPr>
            <w:tcW w:w="3000" w:type="dxa"/>
            <w:shd w:val="clear" w:color="auto" w:fill="auto"/>
            <w:vAlign w:val="bottom"/>
          </w:tcPr>
          <w:p w14:paraId="6D4183FE"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Badanie podstawowe</w:t>
            </w:r>
          </w:p>
        </w:tc>
        <w:tc>
          <w:tcPr>
            <w:tcW w:w="4600" w:type="dxa"/>
            <w:shd w:val="clear" w:color="auto" w:fill="auto"/>
            <w:vAlign w:val="bottom"/>
          </w:tcPr>
          <w:p w14:paraId="057193A0"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Ok. 10 parametrów / badanie paskiem</w:t>
            </w:r>
          </w:p>
        </w:tc>
      </w:tr>
      <w:tr w:rsidR="00E37823" w:rsidRPr="00E70AD7" w14:paraId="12DF8EAA" w14:textId="77777777" w:rsidTr="003C542E">
        <w:trPr>
          <w:trHeight w:val="272"/>
        </w:trPr>
        <w:tc>
          <w:tcPr>
            <w:tcW w:w="3000" w:type="dxa"/>
            <w:tcBorders>
              <w:bottom w:val="single" w:sz="8" w:space="0" w:color="7F7F7F"/>
            </w:tcBorders>
            <w:shd w:val="clear" w:color="auto" w:fill="auto"/>
            <w:vAlign w:val="bottom"/>
          </w:tcPr>
          <w:p w14:paraId="33DE4061" w14:textId="77777777" w:rsidR="00E37823" w:rsidRPr="00E70AD7" w:rsidRDefault="00E37823" w:rsidP="003C542E">
            <w:pPr>
              <w:spacing w:line="228" w:lineRule="auto"/>
              <w:ind w:left="698" w:right="227" w:hanging="363"/>
              <w:jc w:val="both"/>
              <w:rPr>
                <w:rFonts w:eastAsia="Times New Roman" w:cstheme="minorHAnsi"/>
              </w:rPr>
            </w:pPr>
          </w:p>
        </w:tc>
        <w:tc>
          <w:tcPr>
            <w:tcW w:w="4600" w:type="dxa"/>
            <w:tcBorders>
              <w:bottom w:val="single" w:sz="8" w:space="0" w:color="7F7F7F"/>
            </w:tcBorders>
            <w:shd w:val="clear" w:color="auto" w:fill="auto"/>
            <w:vAlign w:val="bottom"/>
          </w:tcPr>
          <w:p w14:paraId="70589F2E"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testowym</w:t>
            </w:r>
          </w:p>
        </w:tc>
      </w:tr>
      <w:tr w:rsidR="00E37823" w:rsidRPr="00E70AD7" w14:paraId="52AF929E" w14:textId="77777777" w:rsidTr="003C542E">
        <w:trPr>
          <w:trHeight w:val="255"/>
        </w:trPr>
        <w:tc>
          <w:tcPr>
            <w:tcW w:w="3000" w:type="dxa"/>
            <w:shd w:val="clear" w:color="auto" w:fill="auto"/>
            <w:vAlign w:val="bottom"/>
          </w:tcPr>
          <w:p w14:paraId="2570D96A"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Badanie ogólne</w:t>
            </w:r>
          </w:p>
        </w:tc>
        <w:tc>
          <w:tcPr>
            <w:tcW w:w="4600" w:type="dxa"/>
            <w:shd w:val="clear" w:color="auto" w:fill="auto"/>
            <w:vAlign w:val="bottom"/>
          </w:tcPr>
          <w:p w14:paraId="7551802F" w14:textId="77777777" w:rsidR="00E37823" w:rsidRPr="00E70AD7" w:rsidRDefault="00E37823" w:rsidP="003C542E">
            <w:pPr>
              <w:spacing w:line="228" w:lineRule="auto"/>
              <w:ind w:left="698" w:right="227" w:hanging="363"/>
              <w:jc w:val="both"/>
              <w:rPr>
                <w:rFonts w:cstheme="minorHAnsi"/>
                <w:b/>
                <w:color w:val="2A3238"/>
              </w:rPr>
            </w:pPr>
            <w:r w:rsidRPr="00E70AD7">
              <w:rPr>
                <w:rFonts w:cstheme="minorHAnsi"/>
                <w:b/>
                <w:color w:val="2A3238"/>
              </w:rPr>
              <w:t>ok. 10 parametrów + badanie osadu</w:t>
            </w:r>
          </w:p>
        </w:tc>
      </w:tr>
      <w:tr w:rsidR="00E37823" w:rsidRPr="00E70AD7" w14:paraId="696C89BF" w14:textId="77777777" w:rsidTr="003C542E">
        <w:trPr>
          <w:trHeight w:val="255"/>
        </w:trPr>
        <w:tc>
          <w:tcPr>
            <w:tcW w:w="3000" w:type="dxa"/>
            <w:shd w:val="clear" w:color="auto" w:fill="auto"/>
            <w:vAlign w:val="bottom"/>
          </w:tcPr>
          <w:p w14:paraId="3498A7DE" w14:textId="77777777" w:rsidR="00E37823" w:rsidRPr="00E70AD7" w:rsidRDefault="00E37823" w:rsidP="003C542E">
            <w:pPr>
              <w:spacing w:line="228" w:lineRule="auto"/>
              <w:ind w:left="698" w:right="227" w:hanging="363"/>
              <w:jc w:val="both"/>
              <w:rPr>
                <w:rFonts w:cstheme="minorHAnsi"/>
                <w:b/>
                <w:color w:val="2A3238"/>
              </w:rPr>
            </w:pPr>
          </w:p>
        </w:tc>
        <w:tc>
          <w:tcPr>
            <w:tcW w:w="4600" w:type="dxa"/>
            <w:shd w:val="clear" w:color="auto" w:fill="auto"/>
            <w:vAlign w:val="bottom"/>
          </w:tcPr>
          <w:p w14:paraId="5F6CBBC6" w14:textId="77777777" w:rsidR="00E37823" w:rsidRPr="00E70AD7" w:rsidRDefault="00E37823" w:rsidP="003C542E">
            <w:pPr>
              <w:spacing w:line="228" w:lineRule="auto"/>
              <w:ind w:left="698" w:right="227" w:hanging="363"/>
              <w:jc w:val="both"/>
              <w:rPr>
                <w:rFonts w:cstheme="minorHAnsi"/>
                <w:b/>
                <w:color w:val="2A3238"/>
              </w:rPr>
            </w:pPr>
          </w:p>
        </w:tc>
      </w:tr>
    </w:tbl>
    <w:p w14:paraId="03ED5708" w14:textId="77777777" w:rsidR="00E37823" w:rsidRPr="00E70AD7" w:rsidRDefault="00E37823" w:rsidP="00E37823">
      <w:pPr>
        <w:spacing w:line="228" w:lineRule="auto"/>
        <w:ind w:left="698" w:right="227" w:hanging="363"/>
        <w:jc w:val="both"/>
        <w:rPr>
          <w:rFonts w:cstheme="minorHAnsi"/>
          <w:color w:val="2A3238"/>
        </w:rPr>
      </w:pPr>
    </w:p>
    <w:p w14:paraId="43307DEF" w14:textId="77777777" w:rsidR="00E37823" w:rsidRPr="00E70AD7" w:rsidRDefault="00E37823" w:rsidP="00E37823">
      <w:pPr>
        <w:spacing w:line="228" w:lineRule="auto"/>
        <w:ind w:left="698" w:right="227" w:hanging="363"/>
        <w:jc w:val="both"/>
        <w:rPr>
          <w:rFonts w:cstheme="minorHAnsi"/>
          <w:color w:val="2A3238"/>
        </w:rPr>
      </w:pPr>
      <w:r w:rsidRPr="00E70AD7">
        <w:rPr>
          <w:rFonts w:cstheme="minorHAnsi"/>
          <w:color w:val="2A3238"/>
        </w:rPr>
        <w:t xml:space="preserve">Podobnie jak w przypadku badań krwi – ilość i zakres parametrów mogą różnić się w </w:t>
      </w:r>
    </w:p>
    <w:p w14:paraId="365C2439" w14:textId="77777777" w:rsidR="00E37823" w:rsidRPr="00E70AD7" w:rsidRDefault="00E37823" w:rsidP="00E37823">
      <w:pPr>
        <w:spacing w:line="228" w:lineRule="auto"/>
        <w:ind w:left="698" w:right="227" w:hanging="363"/>
        <w:jc w:val="both"/>
        <w:rPr>
          <w:rFonts w:cstheme="minorHAnsi"/>
          <w:color w:val="2A3238"/>
        </w:rPr>
      </w:pPr>
      <w:r w:rsidRPr="00E70AD7">
        <w:rPr>
          <w:rFonts w:cstheme="minorHAnsi"/>
          <w:color w:val="2A3238"/>
        </w:rPr>
        <w:t>zależności od laboratorium z jakim współpracuje dany lekarz weterynarii.</w:t>
      </w:r>
    </w:p>
    <w:p w14:paraId="07E675DA" w14:textId="05AD102D" w:rsidR="00E37823" w:rsidRPr="00E70AD7" w:rsidRDefault="00E37823" w:rsidP="00E37823">
      <w:pPr>
        <w:spacing w:line="228" w:lineRule="auto"/>
        <w:ind w:left="698" w:right="227" w:hanging="363"/>
        <w:jc w:val="both"/>
        <w:rPr>
          <w:rFonts w:cstheme="minorHAnsi"/>
          <w:color w:val="2A3238"/>
        </w:rPr>
      </w:pPr>
      <w:r w:rsidRPr="00E70AD7">
        <w:rPr>
          <w:rFonts w:cstheme="minorHAnsi"/>
          <w:color w:val="2A3238"/>
        </w:rPr>
        <w:t>Badanie moczu obejmuje badanie laboratoryjne, nie obejmuje usługi pobrania próbki do</w:t>
      </w:r>
      <w:r>
        <w:rPr>
          <w:rFonts w:cstheme="minorHAnsi"/>
          <w:color w:val="2A3238"/>
        </w:rPr>
        <w:t xml:space="preserve"> </w:t>
      </w:r>
      <w:r w:rsidRPr="00E70AD7">
        <w:rPr>
          <w:rFonts w:cstheme="minorHAnsi"/>
          <w:color w:val="2A3238"/>
        </w:rPr>
        <w:t>badania.</w:t>
      </w:r>
    </w:p>
    <w:p w14:paraId="2F43E930" w14:textId="77777777" w:rsidR="00E37823" w:rsidRPr="00E70AD7" w:rsidRDefault="00E37823" w:rsidP="00E37823">
      <w:pPr>
        <w:spacing w:line="228" w:lineRule="auto"/>
        <w:ind w:left="698" w:right="227" w:hanging="363"/>
        <w:jc w:val="both"/>
        <w:rPr>
          <w:rFonts w:cstheme="minorHAnsi"/>
          <w:color w:val="2A3238"/>
        </w:rPr>
      </w:pPr>
    </w:p>
    <w:p w14:paraId="5B55AABB" w14:textId="77777777" w:rsidR="00E37823" w:rsidRPr="00E70AD7" w:rsidRDefault="00E37823" w:rsidP="00E37823">
      <w:pPr>
        <w:numPr>
          <w:ilvl w:val="0"/>
          <w:numId w:val="1"/>
        </w:numPr>
        <w:tabs>
          <w:tab w:val="left" w:pos="700"/>
        </w:tabs>
        <w:spacing w:line="228" w:lineRule="auto"/>
        <w:ind w:left="698" w:right="227" w:hanging="363"/>
        <w:jc w:val="both"/>
        <w:rPr>
          <w:rFonts w:cstheme="minorHAnsi"/>
          <w:color w:val="2A3238"/>
        </w:rPr>
      </w:pPr>
      <w:r w:rsidRPr="00E70AD7">
        <w:rPr>
          <w:rFonts w:cstheme="minorHAnsi"/>
          <w:color w:val="2A3238"/>
        </w:rPr>
        <w:t>Szczepienia wykonywane są aktualnie dostępnymi na rynku preparatami używanymi przez danego lekarza weterynarii. O wyborze preparatu/producenta szczepionki decyduje lekarz.</w:t>
      </w:r>
      <w:r w:rsidRPr="00E70AD7">
        <w:rPr>
          <w:rFonts w:cstheme="minorHAnsi"/>
          <w:w w:val="99"/>
        </w:rPr>
        <w:t xml:space="preserve"> </w:t>
      </w:r>
    </w:p>
    <w:p w14:paraId="0083AF0A" w14:textId="1BBECC0A" w:rsidR="00E37823" w:rsidRDefault="00E37823" w:rsidP="00ED3149">
      <w:pPr>
        <w:tabs>
          <w:tab w:val="left" w:pos="700"/>
        </w:tabs>
        <w:spacing w:line="228" w:lineRule="auto"/>
        <w:ind w:left="698" w:right="227"/>
        <w:jc w:val="both"/>
        <w:rPr>
          <w:rFonts w:cstheme="minorHAnsi"/>
          <w:w w:val="99"/>
        </w:rPr>
      </w:pPr>
    </w:p>
    <w:p w14:paraId="79570DF1" w14:textId="01A66E48" w:rsidR="00ED3149" w:rsidRDefault="00ED3149" w:rsidP="00E37823">
      <w:pPr>
        <w:tabs>
          <w:tab w:val="left" w:pos="700"/>
        </w:tabs>
        <w:spacing w:line="228" w:lineRule="auto"/>
        <w:ind w:left="698" w:right="227" w:hanging="363"/>
        <w:jc w:val="both"/>
        <w:rPr>
          <w:rFonts w:cstheme="minorHAnsi"/>
          <w:w w:val="99"/>
        </w:rPr>
      </w:pPr>
    </w:p>
    <w:p w14:paraId="68E1810B" w14:textId="77777777" w:rsidR="00ED3149" w:rsidRPr="00E70AD7" w:rsidRDefault="00ED3149" w:rsidP="00E37823">
      <w:pPr>
        <w:tabs>
          <w:tab w:val="left" w:pos="700"/>
        </w:tabs>
        <w:spacing w:line="228" w:lineRule="auto"/>
        <w:ind w:left="698" w:right="227" w:hanging="363"/>
        <w:jc w:val="both"/>
        <w:rPr>
          <w:rFonts w:cstheme="minorHAnsi"/>
          <w:color w:val="2A3238"/>
        </w:rPr>
      </w:pPr>
    </w:p>
    <w:p w14:paraId="56DEC3B6"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3B06F5FC" w14:textId="77777777" w:rsidR="00E37823" w:rsidRPr="00E70AD7" w:rsidRDefault="00E37823" w:rsidP="00E37823">
      <w:pPr>
        <w:tabs>
          <w:tab w:val="left" w:pos="700"/>
        </w:tabs>
        <w:spacing w:line="228" w:lineRule="auto"/>
        <w:ind w:left="698" w:right="227" w:hanging="363"/>
        <w:jc w:val="both"/>
        <w:rPr>
          <w:rFonts w:cstheme="minorHAnsi"/>
          <w:color w:val="2A3238"/>
        </w:rPr>
      </w:pPr>
      <w:r w:rsidRPr="00E70AD7">
        <w:rPr>
          <w:rFonts w:cstheme="minorHAnsi"/>
          <w:color w:val="2A3238"/>
        </w:rPr>
        <w:t>5.</w:t>
      </w:r>
      <w:r w:rsidRPr="00E70AD7">
        <w:rPr>
          <w:rFonts w:cstheme="minorHAnsi"/>
          <w:color w:val="2A3238"/>
        </w:rPr>
        <w:tab/>
        <w:t>Profilaktyczny przegląd zdrowia obejmuje: ogólne badanie kliniczne, ocenę stanu uzębienia i dziąseł, ocenę stanu skóry i pokrywy włosowej, zważenie zwierzęcia, badanie fizykalne układu ruchu, układu pokarmowego i rozrodczego, zebranie wywiadu dotyczącego: tolerancji wysiłku, apetytu, defekacji, mikcji, sposobu żywienia, ilości pobieranej wody/dobę, przebiegu cyklu płciowego.</w:t>
      </w:r>
    </w:p>
    <w:p w14:paraId="151793D3"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448EBFDF" w14:textId="77777777" w:rsidR="00E37823" w:rsidRPr="00E70AD7" w:rsidRDefault="00E37823" w:rsidP="00E37823">
      <w:pPr>
        <w:pStyle w:val="Akapitzlist"/>
        <w:numPr>
          <w:ilvl w:val="0"/>
          <w:numId w:val="2"/>
        </w:numPr>
        <w:tabs>
          <w:tab w:val="left" w:pos="700"/>
        </w:tabs>
        <w:spacing w:line="228" w:lineRule="auto"/>
        <w:ind w:left="698" w:right="227" w:hanging="363"/>
        <w:jc w:val="both"/>
        <w:rPr>
          <w:rFonts w:cstheme="minorHAnsi"/>
          <w:color w:val="2A3238"/>
        </w:rPr>
      </w:pPr>
      <w:r w:rsidRPr="00E70AD7">
        <w:rPr>
          <w:rFonts w:cstheme="minorHAnsi"/>
          <w:color w:val="2A3238"/>
        </w:rPr>
        <w:t>Wizyta w przypadku choroby obejmuje: wywiad, ogólne badanie kliniczne, diagnozę, określenie sposobu leczenia, określenie potrzeby wykonania dodatkowych badań diagnostycznych. Wizyta nie dotyczy konsultacji u lekarzy specjalistów. Wizyta nie dotyczy dyżurów nocnych, świątecznych oraz wizyt domowych. Wizyta nie obejmuje zaleconych leków (jest możliwość wykorzystania budżetu na leki).</w:t>
      </w:r>
    </w:p>
    <w:p w14:paraId="3363AD06" w14:textId="77777777" w:rsidR="00E37823" w:rsidRPr="00E70AD7" w:rsidRDefault="00E37823" w:rsidP="00E37823">
      <w:pPr>
        <w:pStyle w:val="Akapitzlist"/>
        <w:tabs>
          <w:tab w:val="left" w:pos="700"/>
        </w:tabs>
        <w:spacing w:line="228" w:lineRule="auto"/>
        <w:ind w:left="698" w:right="227" w:hanging="363"/>
        <w:jc w:val="both"/>
        <w:rPr>
          <w:rFonts w:cstheme="minorHAnsi"/>
          <w:color w:val="2A3238"/>
        </w:rPr>
      </w:pPr>
    </w:p>
    <w:p w14:paraId="11F17EF2" w14:textId="77777777" w:rsidR="00E37823" w:rsidRPr="00E70AD7" w:rsidRDefault="00E37823" w:rsidP="00E37823">
      <w:pPr>
        <w:pStyle w:val="Akapitzlist"/>
        <w:tabs>
          <w:tab w:val="left" w:pos="700"/>
        </w:tabs>
        <w:spacing w:line="228" w:lineRule="auto"/>
        <w:ind w:left="698" w:right="227" w:hanging="363"/>
        <w:jc w:val="both"/>
        <w:rPr>
          <w:rFonts w:cstheme="minorHAnsi"/>
          <w:color w:val="2A3238"/>
        </w:rPr>
      </w:pPr>
      <w:r w:rsidRPr="00E70AD7">
        <w:rPr>
          <w:rFonts w:cstheme="minorHAnsi"/>
          <w:color w:val="2A3238"/>
        </w:rPr>
        <w:t>7. Wizyta kontrola obejmuje badanie kliniczne pacjenta i kontynuację leczenia.</w:t>
      </w:r>
    </w:p>
    <w:p w14:paraId="789FD37E"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300FC116" w14:textId="1A07F89A" w:rsidR="00E37823" w:rsidRPr="00E37823" w:rsidRDefault="00E37823" w:rsidP="00E37823">
      <w:pPr>
        <w:pStyle w:val="Akapitzlist"/>
        <w:numPr>
          <w:ilvl w:val="0"/>
          <w:numId w:val="5"/>
        </w:numPr>
        <w:tabs>
          <w:tab w:val="left" w:pos="700"/>
        </w:tabs>
        <w:spacing w:line="228" w:lineRule="auto"/>
        <w:ind w:left="698" w:right="227" w:hanging="363"/>
        <w:jc w:val="both"/>
        <w:rPr>
          <w:rFonts w:cstheme="minorHAnsi"/>
          <w:color w:val="2A3238"/>
        </w:rPr>
      </w:pPr>
      <w:r w:rsidRPr="00E37823">
        <w:rPr>
          <w:rFonts w:cstheme="minorHAnsi"/>
          <w:color w:val="2A3238"/>
        </w:rPr>
        <w:t>Usunięcie kleszcza, jeśli dojdzie do wbicia się kleszcza w skórę Twojego pupila, należy go jak najszybciej wyciągnąć. Im dłużej kleszcz żeruje, tym większe prawdopodobieństwo transmisji chorób odkleszczowych, np. babeszjozy.</w:t>
      </w:r>
    </w:p>
    <w:p w14:paraId="61CDCB9B" w14:textId="77777777" w:rsidR="00E37823" w:rsidRPr="00E37823" w:rsidRDefault="00E37823" w:rsidP="00E37823">
      <w:pPr>
        <w:pStyle w:val="Akapitzlist"/>
        <w:tabs>
          <w:tab w:val="left" w:pos="700"/>
        </w:tabs>
        <w:spacing w:line="228" w:lineRule="auto"/>
        <w:ind w:left="1080" w:right="227"/>
        <w:jc w:val="both"/>
        <w:rPr>
          <w:rFonts w:cstheme="minorHAnsi"/>
          <w:color w:val="2A3238"/>
        </w:rPr>
      </w:pPr>
    </w:p>
    <w:p w14:paraId="7C7F9FF2" w14:textId="2D1E68F5" w:rsidR="00E37823" w:rsidRPr="00E70AD7" w:rsidRDefault="00E37823" w:rsidP="00E37823">
      <w:pPr>
        <w:tabs>
          <w:tab w:val="left" w:pos="700"/>
        </w:tabs>
        <w:spacing w:line="228" w:lineRule="auto"/>
        <w:ind w:left="698" w:right="227" w:hanging="363"/>
        <w:jc w:val="both"/>
        <w:rPr>
          <w:rFonts w:cstheme="minorHAnsi"/>
          <w:color w:val="2A3238"/>
        </w:rPr>
      </w:pPr>
      <w:r>
        <w:rPr>
          <w:rFonts w:cstheme="minorHAnsi"/>
          <w:color w:val="2A3238"/>
        </w:rPr>
        <w:t xml:space="preserve">9. </w:t>
      </w:r>
      <w:r w:rsidRPr="00587434">
        <w:rPr>
          <w:rFonts w:cstheme="minorHAnsi"/>
          <w:color w:val="2A3238"/>
        </w:rPr>
        <w:t>Toaleta gruczołów około odbytowych, gruczoły okołoodbytowe to struktury znajdujące się po obydwu stronach odbytu. Produkują one wydzielinę, która jest fizjologicznie opróżniana podczas defekacji. Czasami jednak płyn tam zebrany nie wydostaje się na zewnątrz, powodując stany chorobowe. Zachodzi wtedy potrzeba opróżniania gruczołów przez lekarza weterynarii, podanie leków i kontrola co parę tygodni.</w:t>
      </w:r>
    </w:p>
    <w:p w14:paraId="4727FE33"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644FCAF5" w14:textId="53A15385" w:rsidR="00E37823" w:rsidRPr="00E70AD7" w:rsidRDefault="00E37823" w:rsidP="00E37823">
      <w:pPr>
        <w:tabs>
          <w:tab w:val="left" w:pos="700"/>
        </w:tabs>
        <w:spacing w:line="228" w:lineRule="auto"/>
        <w:ind w:left="698" w:right="227" w:hanging="363"/>
        <w:jc w:val="both"/>
        <w:rPr>
          <w:rFonts w:cstheme="minorHAnsi"/>
          <w:color w:val="2A3238"/>
        </w:rPr>
      </w:pPr>
      <w:r>
        <w:rPr>
          <w:rFonts w:cstheme="minorHAnsi"/>
          <w:color w:val="2A3238"/>
        </w:rPr>
        <w:t>10</w:t>
      </w:r>
      <w:r w:rsidRPr="00E70AD7">
        <w:rPr>
          <w:rFonts w:cstheme="minorHAnsi"/>
          <w:color w:val="2A3238"/>
        </w:rPr>
        <w:t>. Czipowanie obejmuje czip</w:t>
      </w:r>
      <w:r w:rsidR="00D90427">
        <w:rPr>
          <w:rFonts w:cstheme="minorHAnsi"/>
          <w:color w:val="2A3238"/>
        </w:rPr>
        <w:t xml:space="preserve"> oraz</w:t>
      </w:r>
      <w:r w:rsidRPr="00E70AD7">
        <w:rPr>
          <w:rFonts w:cstheme="minorHAnsi"/>
          <w:color w:val="2A3238"/>
        </w:rPr>
        <w:t xml:space="preserve"> aplikację czipa.</w:t>
      </w:r>
    </w:p>
    <w:p w14:paraId="642A1070"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3CC5870F" w14:textId="68A9C085" w:rsidR="00E37823" w:rsidRPr="00E70AD7" w:rsidRDefault="00E37823" w:rsidP="00E37823">
      <w:pPr>
        <w:tabs>
          <w:tab w:val="left" w:pos="700"/>
        </w:tabs>
        <w:spacing w:line="228" w:lineRule="auto"/>
        <w:ind w:left="698" w:right="227" w:hanging="363"/>
        <w:jc w:val="both"/>
        <w:rPr>
          <w:rFonts w:cstheme="minorHAnsi"/>
          <w:color w:val="2A3238"/>
        </w:rPr>
      </w:pPr>
      <w:r w:rsidRPr="00E70AD7">
        <w:rPr>
          <w:rFonts w:cstheme="minorHAnsi"/>
          <w:color w:val="2A3238"/>
        </w:rPr>
        <w:t>1</w:t>
      </w:r>
      <w:r>
        <w:rPr>
          <w:rFonts w:cstheme="minorHAnsi"/>
          <w:color w:val="2A3238"/>
        </w:rPr>
        <w:t>1</w:t>
      </w:r>
      <w:r w:rsidRPr="00E70AD7">
        <w:rPr>
          <w:rFonts w:cstheme="minorHAnsi"/>
          <w:color w:val="2A3238"/>
        </w:rPr>
        <w:t>. Porada online, lekarza weterynarii odpowiada na pytania wysłane przez Panel Klienta do trzech dni roboczych.</w:t>
      </w:r>
    </w:p>
    <w:p w14:paraId="00DB1349" w14:textId="77777777" w:rsidR="00E37823" w:rsidRPr="00E70AD7" w:rsidRDefault="00E37823" w:rsidP="00E37823">
      <w:pPr>
        <w:tabs>
          <w:tab w:val="left" w:pos="700"/>
        </w:tabs>
        <w:spacing w:line="228" w:lineRule="auto"/>
        <w:ind w:left="698" w:right="227" w:hanging="363"/>
        <w:jc w:val="both"/>
        <w:rPr>
          <w:rFonts w:cstheme="minorHAnsi"/>
          <w:color w:val="2A3238"/>
        </w:rPr>
      </w:pPr>
    </w:p>
    <w:p w14:paraId="6F7F79E9" w14:textId="1839A416" w:rsidR="00E37823" w:rsidRPr="00E70AD7" w:rsidRDefault="00E37823" w:rsidP="00E37823">
      <w:pPr>
        <w:tabs>
          <w:tab w:val="left" w:pos="700"/>
        </w:tabs>
        <w:spacing w:line="228" w:lineRule="auto"/>
        <w:ind w:left="698" w:right="227" w:hanging="363"/>
        <w:jc w:val="both"/>
        <w:rPr>
          <w:rFonts w:cstheme="minorHAnsi"/>
          <w:color w:val="2A3238"/>
        </w:rPr>
      </w:pPr>
      <w:r w:rsidRPr="00E70AD7">
        <w:rPr>
          <w:rFonts w:cstheme="minorHAnsi"/>
          <w:color w:val="2A3238"/>
        </w:rPr>
        <w:t>1</w:t>
      </w:r>
      <w:r>
        <w:rPr>
          <w:rFonts w:cstheme="minorHAnsi"/>
          <w:color w:val="2A3238"/>
        </w:rPr>
        <w:t>2</w:t>
      </w:r>
      <w:r w:rsidRPr="00E70AD7">
        <w:rPr>
          <w:rFonts w:cstheme="minorHAnsi"/>
          <w:color w:val="2A3238"/>
        </w:rPr>
        <w:t>. Jeśli podczas wizyty (realizowanej za pomocą bonów Pethelp) wyniknie potrzeba pogłębienia diagnostyki, wykonania dodatkowych badań, podania leków których nie pokrywają bony, wówczas pokrywasz koszty osobiście, w dniu wizyty u lekarza weterynarii zgodnie z obowiązującym u niego cennikiem.</w:t>
      </w:r>
    </w:p>
    <w:p w14:paraId="0874C7CD" w14:textId="77777777" w:rsidR="00E37823" w:rsidRPr="000827A5" w:rsidRDefault="00E37823" w:rsidP="00E37823">
      <w:pPr>
        <w:tabs>
          <w:tab w:val="left" w:pos="700"/>
        </w:tabs>
        <w:spacing w:line="228" w:lineRule="auto"/>
        <w:ind w:left="700" w:right="226"/>
        <w:jc w:val="both"/>
        <w:rPr>
          <w:color w:val="2A3238"/>
        </w:rPr>
      </w:pPr>
    </w:p>
    <w:p w14:paraId="0321AE8F" w14:textId="77777777" w:rsidR="00E37823" w:rsidRDefault="00E37823" w:rsidP="00E37823">
      <w:r>
        <w:rPr>
          <w:noProof/>
        </w:rPr>
        <w:drawing>
          <wp:anchor distT="0" distB="0" distL="114300" distR="114300" simplePos="0" relativeHeight="251659264" behindDoc="1" locked="0" layoutInCell="1" allowOverlap="1" wp14:anchorId="2A7832BE" wp14:editId="603F7EE2">
            <wp:simplePos x="0" y="0"/>
            <wp:positionH relativeFrom="page">
              <wp:posOffset>2932430</wp:posOffset>
            </wp:positionH>
            <wp:positionV relativeFrom="page">
              <wp:posOffset>449580</wp:posOffset>
            </wp:positionV>
            <wp:extent cx="1695450" cy="7905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5450" cy="790575"/>
                    </a:xfrm>
                    <a:prstGeom prst="rect">
                      <a:avLst/>
                    </a:prstGeom>
                    <a:noFill/>
                  </pic:spPr>
                </pic:pic>
              </a:graphicData>
            </a:graphic>
            <wp14:sizeRelH relativeFrom="page">
              <wp14:pctWidth>0</wp14:pctWidth>
            </wp14:sizeRelH>
            <wp14:sizeRelV relativeFrom="page">
              <wp14:pctHeight>0</wp14:pctHeight>
            </wp14:sizeRelV>
          </wp:anchor>
        </w:drawing>
      </w:r>
    </w:p>
    <w:p w14:paraId="3E32686F" w14:textId="77777777" w:rsidR="00E37823" w:rsidRDefault="00E37823" w:rsidP="00E37823"/>
    <w:p w14:paraId="0F411E68" w14:textId="77777777" w:rsidR="00E37823" w:rsidRDefault="00E37823"/>
    <w:sectPr w:rsidR="00E37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874888"/>
    <w:multiLevelType w:val="hybridMultilevel"/>
    <w:tmpl w:val="D06EA440"/>
    <w:lvl w:ilvl="0" w:tplc="596E3E84">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ED824CE"/>
    <w:multiLevelType w:val="hybridMultilevel"/>
    <w:tmpl w:val="483CACDC"/>
    <w:lvl w:ilvl="0" w:tplc="7786EE0E">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42F4424E"/>
    <w:multiLevelType w:val="hybridMultilevel"/>
    <w:tmpl w:val="F626D6B8"/>
    <w:lvl w:ilvl="0" w:tplc="BFF0ECE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9803FB"/>
    <w:multiLevelType w:val="hybridMultilevel"/>
    <w:tmpl w:val="70F848B0"/>
    <w:lvl w:ilvl="0" w:tplc="8E582C50">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23"/>
    <w:rsid w:val="005557A1"/>
    <w:rsid w:val="00D90427"/>
    <w:rsid w:val="00E37823"/>
    <w:rsid w:val="00ED3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4A34"/>
  <w15:chartTrackingRefBased/>
  <w15:docId w15:val="{B6C92103-8A92-4347-B190-E3E443D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823"/>
    <w:pPr>
      <w:spacing w:after="0" w:line="240" w:lineRule="auto"/>
    </w:pPr>
    <w:rPr>
      <w:lang w:bidi="he-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511</Words>
  <Characters>3069</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Wiatr</dc:creator>
  <cp:keywords/>
  <dc:description/>
  <cp:lastModifiedBy>Sławomir Wiatr</cp:lastModifiedBy>
  <cp:revision>5</cp:revision>
  <dcterms:created xsi:type="dcterms:W3CDTF">2021-08-13T08:18:00Z</dcterms:created>
  <dcterms:modified xsi:type="dcterms:W3CDTF">2021-09-02T09:10:00Z</dcterms:modified>
</cp:coreProperties>
</file>